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574" w14:textId="35F09384" w:rsidR="00C51B4E" w:rsidRPr="00DE7A03" w:rsidRDefault="00C51B4E" w:rsidP="00C51B4E">
      <w:pPr>
        <w:jc w:val="center"/>
        <w:rPr>
          <w:b/>
        </w:rPr>
      </w:pPr>
      <w:r w:rsidRPr="00DE7A03">
        <w:rPr>
          <w:b/>
        </w:rPr>
        <w:t>JUSTIFICATIVA PARA CONTRATAÇÃO DA FUNDAÇÃO DE APOIO</w:t>
      </w:r>
    </w:p>
    <w:p w14:paraId="10E2D4BB" w14:textId="4080818E" w:rsidR="00620E62" w:rsidRDefault="00620E62" w:rsidP="00852BD0">
      <w:pPr>
        <w:jc w:val="both"/>
      </w:pPr>
      <w:r>
        <w:t xml:space="preserve">Considerando o artigo 1º e 2º, da Lei nº 8.958/94, combinado com o </w:t>
      </w:r>
      <w:r w:rsidR="006B292C">
        <w:t>p</w:t>
      </w:r>
      <w:r>
        <w:t xml:space="preserve">arágrafo </w:t>
      </w:r>
      <w:r w:rsidR="006B292C">
        <w:t>ú</w:t>
      </w:r>
      <w:r>
        <w:t xml:space="preserve">nico do artigo 1º, do Decreto 7.423/2010, que regulamentou a lei supracitada, as Instituições Federais de Ensino Superior – IFES podem celebrar contratos, nos </w:t>
      </w:r>
      <w:r w:rsidR="006B292C" w:rsidRPr="00331861">
        <w:t>NOVA LEI - termos do inciso XV do caput do art. 75 da Lei no 14.133 de 1º de abril de 2021</w:t>
      </w:r>
      <w:r>
        <w:t xml:space="preserve">, por prazo determinado com fundações instituídas tendo a finalidade de apoiar projetos de ensino, pesquisa, extensão, desenvolvimento institucional, científico, tecnológico e estímulo à inovação, além de gestão administrativa e financeira necessária à execução desses projetos. </w:t>
      </w:r>
    </w:p>
    <w:p w14:paraId="5FEB8684" w14:textId="01A22E26" w:rsidR="00620E62" w:rsidRDefault="00620E62" w:rsidP="00852BD0">
      <w:pPr>
        <w:jc w:val="both"/>
      </w:pPr>
      <w:r>
        <w:t xml:space="preserve">No caso em apreço o pacto contratual que se pretende, atende todos os requisitos estabelecidos pelo artigo 1º e 2º da Lei 8.958/94, a CONTRATANTE – </w:t>
      </w:r>
      <w:r w:rsidR="004F6345">
        <w:t>IFRN</w:t>
      </w:r>
      <w:r>
        <w:t xml:space="preserve"> é uma IFES e a </w:t>
      </w:r>
      <w:r w:rsidR="006B292C" w:rsidRPr="002B782C">
        <w:t>Fundação de Apoio à Educação e ao Desenvolvimento Tecnológico do Rio Grande do Norte – FUNCERN</w:t>
      </w:r>
      <w:r w:rsidR="006B292C">
        <w:t xml:space="preserve"> </w:t>
      </w:r>
      <w:r>
        <w:t>trata-se de uma fundação criada sob a forma de direito privada, sem fins lucrativos, cujas finalidades atendem os dispositivos legais acima mencionados</w:t>
      </w:r>
      <w:r w:rsidR="007448F9">
        <w:t xml:space="preserve">, </w:t>
      </w:r>
      <w:r w:rsidR="007448F9" w:rsidRPr="007448F9">
        <w:t xml:space="preserve">que visa apoiar as ações do IFRN, cujo objeto social engloba </w:t>
      </w:r>
      <w:r w:rsidR="00201D8A">
        <w:t xml:space="preserve">apoiar o desenvolvimento </w:t>
      </w:r>
      <w:r w:rsidR="00566177">
        <w:t>de atividades de pesquisa, ensino e extensão, bem como o desenvolvimento institucional, científico e tecnológico e estímulo à inovação do IFRN,</w:t>
      </w:r>
      <w:r w:rsidR="006B292C">
        <w:t xml:space="preserve"> </w:t>
      </w:r>
      <w:r w:rsidR="007448F9" w:rsidRPr="007448F9">
        <w:t>nas áreas técnica</w:t>
      </w:r>
      <w:r w:rsidR="006B292C">
        <w:t>s</w:t>
      </w:r>
      <w:r w:rsidR="007448F9" w:rsidRPr="007448F9">
        <w:t>, científica</w:t>
      </w:r>
      <w:r w:rsidR="006B292C">
        <w:t>s</w:t>
      </w:r>
      <w:r w:rsidR="007448F9" w:rsidRPr="007448F9">
        <w:t>, administrativa</w:t>
      </w:r>
      <w:r w:rsidR="006B292C">
        <w:t xml:space="preserve">s, artísticas, </w:t>
      </w:r>
      <w:r w:rsidR="007448F9" w:rsidRPr="007448F9">
        <w:t>cultura</w:t>
      </w:r>
      <w:r w:rsidR="006B292C">
        <w:t>is, sociais, ambientais, de esporte e lazer</w:t>
      </w:r>
      <w:r w:rsidR="007448F9" w:rsidRPr="007448F9">
        <w:t xml:space="preserve">, como finalidade primordial o apoio a ações </w:t>
      </w:r>
      <w:r w:rsidR="007448F9">
        <w:t>do</w:t>
      </w:r>
      <w:r w:rsidR="007448F9" w:rsidRPr="007448F9">
        <w:t xml:space="preserve"> </w:t>
      </w:r>
      <w:r w:rsidR="007448F9">
        <w:t xml:space="preserve">Instituto. </w:t>
      </w:r>
      <w:r>
        <w:t>A entidade é registrada e credenciada junto aos Ministérios da Educação e da Ciência e Tecnologia, autorizada a atuar como fundação de apoio</w:t>
      </w:r>
      <w:r w:rsidR="002B782C">
        <w:t xml:space="preserve"> ao </w:t>
      </w:r>
      <w:r w:rsidR="002B782C">
        <w:rPr>
          <w:iCs/>
        </w:rPr>
        <w:t>IFRN</w:t>
      </w:r>
      <w:r>
        <w:t xml:space="preserve">, conforme deliberação do Conselho </w:t>
      </w:r>
      <w:r w:rsidR="002B782C">
        <w:t xml:space="preserve">Superior </w:t>
      </w:r>
      <w:r>
        <w:t xml:space="preserve">em </w:t>
      </w:r>
      <w:r w:rsidR="002B782C">
        <w:t>20</w:t>
      </w:r>
      <w:r>
        <w:t xml:space="preserve"> de </w:t>
      </w:r>
      <w:r w:rsidR="002B782C">
        <w:t xml:space="preserve">outubro </w:t>
      </w:r>
      <w:r>
        <w:t xml:space="preserve">de 2021, por meio da </w:t>
      </w:r>
      <w:r w:rsidR="002B782C">
        <w:t>Resolução 53/2021 – CONSUP/IFRN</w:t>
      </w:r>
      <w:r>
        <w:t xml:space="preserve">. </w:t>
      </w:r>
    </w:p>
    <w:p w14:paraId="41340083" w14:textId="0D366BE0" w:rsidR="00620E62" w:rsidRDefault="00620E62" w:rsidP="00852BD0">
      <w:pPr>
        <w:jc w:val="both"/>
      </w:pPr>
      <w:r>
        <w:t xml:space="preserve">Considerando-se a iminente viabilidade de execução das demandas do Termo de Execução Descentralizada </w:t>
      </w:r>
      <w:r w:rsidRPr="00201D8A">
        <w:t xml:space="preserve">n° </w:t>
      </w:r>
      <w:r w:rsidR="002B782C" w:rsidRPr="00201D8A">
        <w:rPr>
          <w:color w:val="FF0000"/>
        </w:rPr>
        <w:t>XX</w:t>
      </w:r>
      <w:r w:rsidRPr="00201D8A">
        <w:rPr>
          <w:color w:val="FF0000"/>
        </w:rPr>
        <w:t>/202</w:t>
      </w:r>
      <w:r w:rsidR="002B782C" w:rsidRPr="00201D8A">
        <w:rPr>
          <w:color w:val="FF0000"/>
        </w:rPr>
        <w:t>X</w:t>
      </w:r>
      <w:r w:rsidRPr="00201D8A">
        <w:rPr>
          <w:color w:val="FF0000"/>
        </w:rPr>
        <w:t>- SNSH/MDR</w:t>
      </w:r>
      <w:r>
        <w:t xml:space="preserve">, no qual, há previsão, quanto à forma de execução dos créditos orçamentários descentralizados, </w:t>
      </w:r>
      <w:r w:rsidRPr="00EF0032">
        <w:rPr>
          <w:color w:val="FF0000"/>
        </w:rPr>
        <w:t>no item 49, inc. III</w:t>
      </w:r>
      <w:r>
        <w:t>, possibili</w:t>
      </w:r>
      <w:r w:rsidR="00201D8A">
        <w:t xml:space="preserve">tando </w:t>
      </w:r>
      <w:r w:rsidR="002B782C">
        <w:t>o IFRN</w:t>
      </w:r>
      <w:r>
        <w:t xml:space="preserve"> descentralizar, por meio da celebração de convênios, acordos, ajustes ou outros instrumentos congêneres, com [...] fundações de apoio, regidas pela Lei nº 8.958, de 20 de dezembro de 1994, bem como em consonância com o Decreto regulamentador nº 7.423/2010, que possibilita a contratação de Fundação de Apoio para prestação de serviço de gestão administrativa e financeira, no âmbito da execução do </w:t>
      </w:r>
      <w:r w:rsidR="00566177">
        <w:t>p</w:t>
      </w:r>
      <w:r w:rsidRPr="00201D8A">
        <w:t xml:space="preserve">rojeto </w:t>
      </w:r>
      <w:r w:rsidR="00201D8A">
        <w:t>de (</w:t>
      </w:r>
      <w:r w:rsidR="00566177" w:rsidRPr="00566177">
        <w:rPr>
          <w:color w:val="FF0000"/>
        </w:rPr>
        <w:t>pesquisa, ensino</w:t>
      </w:r>
      <w:r w:rsidR="00566177">
        <w:rPr>
          <w:color w:val="FF0000"/>
        </w:rPr>
        <w:t>,</w:t>
      </w:r>
      <w:r w:rsidR="00566177" w:rsidRPr="00566177">
        <w:rPr>
          <w:color w:val="FF0000"/>
        </w:rPr>
        <w:t xml:space="preserve"> extensão, desenvolvimento institucional, científico e tecnológico </w:t>
      </w:r>
      <w:r w:rsidR="00566177">
        <w:rPr>
          <w:color w:val="FF0000"/>
        </w:rPr>
        <w:t>ou de</w:t>
      </w:r>
      <w:r w:rsidR="00566177" w:rsidRPr="00566177">
        <w:rPr>
          <w:color w:val="FF0000"/>
        </w:rPr>
        <w:t xml:space="preserve"> estímulo à inovação</w:t>
      </w:r>
      <w:r w:rsidR="00201D8A">
        <w:t xml:space="preserve">) intitulado </w:t>
      </w:r>
      <w:r w:rsidR="00201D8A" w:rsidRPr="00201D8A">
        <w:rPr>
          <w:color w:val="FF0000"/>
        </w:rPr>
        <w:t>XXXXX</w:t>
      </w:r>
      <w:r>
        <w:t>, executados pel</w:t>
      </w:r>
      <w:r w:rsidR="002B782C">
        <w:t>o</w:t>
      </w:r>
      <w:r>
        <w:t xml:space="preserve"> </w:t>
      </w:r>
      <w:r w:rsidR="002B782C">
        <w:t>IFRN</w:t>
      </w:r>
      <w:r>
        <w:t xml:space="preserve"> e financiado pelo </w:t>
      </w:r>
      <w:r w:rsidRPr="00201D8A">
        <w:rPr>
          <w:color w:val="FF0000"/>
        </w:rPr>
        <w:t xml:space="preserve">Ministério </w:t>
      </w:r>
      <w:r w:rsidR="00201D8A" w:rsidRPr="00201D8A">
        <w:rPr>
          <w:color w:val="FF0000"/>
        </w:rPr>
        <w:t>XXX</w:t>
      </w:r>
      <w:r>
        <w:t xml:space="preserve">, realizará contrato para transferência de recursos junto à </w:t>
      </w:r>
      <w:r w:rsidR="002B782C" w:rsidRPr="002B782C">
        <w:t>Fundação de Apoio à Educação e ao Desenvolvimento Tecnológico do Rio Grande do Norte – FUNCERN</w:t>
      </w:r>
      <w:r>
        <w:t>.</w:t>
      </w:r>
      <w:r w:rsidR="002B782C">
        <w:t xml:space="preserve"> </w:t>
      </w:r>
      <w:r>
        <w:t>Ademais, está expressamente mencionado no artigo 2º</w:t>
      </w:r>
      <w:r w:rsidR="002B782C">
        <w:t xml:space="preserve">, caput e parágrafo único, </w:t>
      </w:r>
      <w:r>
        <w:t xml:space="preserve">do seu Estatuto a observância aos princípios da legalidade, impessoalidade, moralidade, publicidade, economicidade e eficiência. Todos esses documentos seguem anexos ao presente processo. </w:t>
      </w:r>
    </w:p>
    <w:p w14:paraId="410C109C" w14:textId="11DA117D" w:rsidR="00620E62" w:rsidRDefault="00620E62" w:rsidP="00852BD0">
      <w:pPr>
        <w:jc w:val="both"/>
      </w:pPr>
      <w:r>
        <w:t xml:space="preserve">Ademais, considerando que o crédito é oriundo de celebração de Termo de Execução Descentralizada o Decreto 10.426/2020, que regulamenta o referido instrumento, traz expressa previsão da possibilidade de celebração de contrato com fundação de apoio para a execução do Termo (art. 16, §3º, inciso III do referido decreto). </w:t>
      </w:r>
    </w:p>
    <w:p w14:paraId="5A382744" w14:textId="1B455566" w:rsidR="00620E62" w:rsidRDefault="00620E62" w:rsidP="00852BD0">
      <w:pPr>
        <w:jc w:val="both"/>
      </w:pPr>
      <w:r>
        <w:t xml:space="preserve">Essa contratação está também alinhada ao que preconiza a </w:t>
      </w:r>
      <w:r w:rsidR="007E1B43">
        <w:t xml:space="preserve">Resolução 53/2021 – CONSUP/IFRN </w:t>
      </w:r>
      <w:r>
        <w:t>d</w:t>
      </w:r>
      <w:r w:rsidR="007E1B43">
        <w:t>o IFRN</w:t>
      </w:r>
      <w:r>
        <w:t xml:space="preserve">, que disciplina sobre o relacionamento entre </w:t>
      </w:r>
      <w:r w:rsidR="007E1B43">
        <w:t>o Instituto Federal de Educação, Ciência e Tecnologia do Rio Grande do Norte (IFRN) e a Fundação de Apoio à Educação e ao Desenvolvimento Tecnológico do Rio Grande do Norte (FUNCERN), e estabelece os procedimentos operacionais, orçamentários e financeiros a serem observados mutuamente para a execução de projetos de ensino, pesquisa, extensão, desenvolvimento institucional, científico e tecnológico e estímulo à inovação pelo IFRN, com o apoio da FUNCERN</w:t>
      </w:r>
      <w:r>
        <w:t xml:space="preserve">. </w:t>
      </w:r>
    </w:p>
    <w:p w14:paraId="5D8E3976" w14:textId="5F5513BB" w:rsidR="00620E62" w:rsidRDefault="00620E62" w:rsidP="00852BD0">
      <w:pPr>
        <w:jc w:val="both"/>
      </w:pPr>
      <w:r>
        <w:lastRenderedPageBreak/>
        <w:t xml:space="preserve">Ultrapassado as assertivas quanto ao cumprimento dos requisitos legais, justifica-se a presente contratação, tendo em vista os serviços de apoio na gestão administrativa e financeira, que serão prestados pela </w:t>
      </w:r>
      <w:r w:rsidR="007E1B43">
        <w:t>FUNCERN</w:t>
      </w:r>
      <w:r>
        <w:t>, fomentando condições mais propícias</w:t>
      </w:r>
      <w:r w:rsidR="007E1B43">
        <w:t xml:space="preserve"> ao IFRN</w:t>
      </w:r>
      <w:r>
        <w:t xml:space="preserve">, viabilizando-se economicidade, agilidade e presteza no atendimento das necessidades da execução do projeto, principalmente em relações com o ambiente externo. Outro fator a se considerar, refere-se a não disponibilidade de servidores técnicos administrativos, suficientes, vinculados exclusivamente à execução das atividades do projeto, impactando as demandas institucionais, uma vez que o </w:t>
      </w:r>
      <w:r w:rsidR="007E1B43">
        <w:t>orçamento</w:t>
      </w:r>
      <w:r>
        <w:t xml:space="preserve"> recebido pelo projeto </w:t>
      </w:r>
      <w:r w:rsidRPr="00566177">
        <w:t>tem significativo volume de processos de aquisições e contratações de serviços, pactuando-se</w:t>
      </w:r>
      <w:r>
        <w:t xml:space="preserve"> numerosos contratos administrativos com necessidade de acompanhamento e fiscalização por contrato, por parte dos servidores e coordenadores técnicos. </w:t>
      </w:r>
    </w:p>
    <w:p w14:paraId="7899A126" w14:textId="75AC685A" w:rsidR="00620E62" w:rsidRDefault="00620E62" w:rsidP="00852BD0">
      <w:pPr>
        <w:jc w:val="both"/>
      </w:pPr>
      <w:r>
        <w:t xml:space="preserve">Por certo, tal meio de execução tem a vantagem de não sobrecarregar a estrutura administrativa e gerencial </w:t>
      </w:r>
      <w:r w:rsidR="00566177">
        <w:t xml:space="preserve">do IFRN </w:t>
      </w:r>
      <w:r>
        <w:t>e entre outros aspectos, ao fato d</w:t>
      </w:r>
      <w:r w:rsidR="00566177">
        <w:t>a</w:t>
      </w:r>
      <w:r>
        <w:t xml:space="preserve"> execução por meio de fundação de apoio não </w:t>
      </w:r>
      <w:r w:rsidR="00566177">
        <w:t>demandar demasiadamente os</w:t>
      </w:r>
      <w:r>
        <w:t xml:space="preserve"> setores d</w:t>
      </w:r>
      <w:r w:rsidR="007E1B43">
        <w:t>o IFRN</w:t>
      </w:r>
      <w:r>
        <w:t xml:space="preserve">, principalmente no que diz respeito à realização de novos processos e condução de licitações, os quais o corpo técnico do Projeto não pode conduzir. </w:t>
      </w:r>
    </w:p>
    <w:p w14:paraId="3DA5DFFB" w14:textId="34144239" w:rsidR="007E1B43" w:rsidRDefault="006F683B" w:rsidP="00852BD0">
      <w:pPr>
        <w:jc w:val="both"/>
      </w:pPr>
      <w:r>
        <w:rPr>
          <w:color w:val="FF0000"/>
        </w:rPr>
        <w:t>(</w:t>
      </w:r>
      <w:r w:rsidRPr="006F683B">
        <w:rPr>
          <w:color w:val="FF0000"/>
        </w:rPr>
        <w:t>Caso os recursos financeiros tenham sido descentralizados juntamente com o orçamentário</w:t>
      </w:r>
      <w:r>
        <w:rPr>
          <w:color w:val="FF0000"/>
        </w:rPr>
        <w:t>, incluir este parágrafo</w:t>
      </w:r>
      <w:r w:rsidRPr="006F683B">
        <w:rPr>
          <w:color w:val="FF0000"/>
        </w:rPr>
        <w:t xml:space="preserve">) </w:t>
      </w:r>
      <w:r w:rsidR="00620E62">
        <w:t xml:space="preserve">Além disso, é preciso considerar que a manutenção de valores </w:t>
      </w:r>
      <w:r w:rsidR="007E1B43">
        <w:t xml:space="preserve">financeiros </w:t>
      </w:r>
      <w:r w:rsidR="00620E62">
        <w:t xml:space="preserve">descentralizados por outros órgãos na Conta de Limite de Saque </w:t>
      </w:r>
      <w:r w:rsidR="007E1B43">
        <w:t xml:space="preserve">do IFRN </w:t>
      </w:r>
      <w:r w:rsidR="00620E62">
        <w:t>gera impacto negativo para as finanças d</w:t>
      </w:r>
      <w:r w:rsidR="007E1B43">
        <w:t>o</w:t>
      </w:r>
      <w:r w:rsidR="00620E62">
        <w:t xml:space="preserve"> </w:t>
      </w:r>
      <w:r w:rsidR="007E1B43">
        <w:t>Instituto</w:t>
      </w:r>
      <w:r w:rsidR="00620E62">
        <w:t xml:space="preserve">, uma vez que esses valores são abatidos do montante a ser enviado mensalmente (para pagamento das suas despesas correntes) no momento da apuração dos repasses financeiros. Desde o ano de 2018, a Secretaria do Tesouro Nacional – STN, tratando do cálculo dos valores a serem repassados ao MEC, consignou que “aos órgãos onerados no cálculo de seu valor a receber por recursos referentes a repasse, resta à opção de pagar as despesas dos destaques recebidos ou devolver o recurso ao órgão de origem” (Mensagem SIAFI nº 2018/0412141). Há, por isso, orientação da Subsecretaria de Planejamento e Orçamento do MEC – SPO/MEC no sentido de as unidades do MEC devolverem saldos na Conta de Limite de Saque recebidos por meio de Termos de Execução Descentralizados – TED (Mensagem SPO/MEC nº 2020/0231749, de 13/04/2020). Isso denota a necessidade de que os recursos de outros órgãos sejam solicitados na proporção da liquidação das despesas no SIAFI, o que nem sempre é possível em razão das particularidades do </w:t>
      </w:r>
      <w:r w:rsidR="007E1B43" w:rsidRPr="00EF0032">
        <w:rPr>
          <w:color w:val="FF0000"/>
        </w:rPr>
        <w:t>Ministério XXXX</w:t>
      </w:r>
      <w:r w:rsidR="007E1B43">
        <w:t>.</w:t>
      </w:r>
    </w:p>
    <w:p w14:paraId="3463FDEA" w14:textId="09A3328E" w:rsidR="006F683B" w:rsidRDefault="006F683B" w:rsidP="00852BD0">
      <w:pPr>
        <w:jc w:val="both"/>
      </w:pPr>
      <w:r>
        <w:t xml:space="preserve">Reforçando a necessidade de contratação da Fundação de Apoio, tem-se o fato de o projeto possuir um cronograma de execução de </w:t>
      </w:r>
      <w:r w:rsidRPr="006F683B">
        <w:rPr>
          <w:color w:val="FF0000"/>
        </w:rPr>
        <w:t>XX</w:t>
      </w:r>
      <w:r>
        <w:t xml:space="preserve"> meses, deste modo ultrapassando o calendário do exercício orçamentário e financeiro de </w:t>
      </w:r>
      <w:r w:rsidRPr="001B1119">
        <w:rPr>
          <w:color w:val="FF0000"/>
        </w:rPr>
        <w:t>2023</w:t>
      </w:r>
      <w:r>
        <w:t xml:space="preserve">, que implicaria, caso fosse optado pela execução direta, por meio da utilização da capacidade organizacional do IFRN, ou mesmo na contratação de particulares, para contratos da administração pública, </w:t>
      </w:r>
      <w:r w:rsidR="00856A0B">
        <w:t xml:space="preserve">em grandes dificuldades operacionais quando da mudança de exercício financeiro, a exemplo de eventuais alterações na lista de participantes das equipes que atuam na execução do projeto, pois não haveria a possibilidade de anular a nota de empenho emitida ao servidor ou discente originalmente previsto no plano de trabalho, para emissão </w:t>
      </w:r>
      <w:r w:rsidR="00EF0032">
        <w:t>de outra nota de empenho para o novo participante do projeto, haja visto que a nota de empenho estaria inscrita na conta de restos a pagar.</w:t>
      </w:r>
    </w:p>
    <w:p w14:paraId="3FF68589" w14:textId="4B78671B" w:rsidR="00852BD0" w:rsidRDefault="00620E62" w:rsidP="00852BD0">
      <w:pPr>
        <w:jc w:val="both"/>
      </w:pPr>
      <w:r>
        <w:t xml:space="preserve"> A F</w:t>
      </w:r>
      <w:r w:rsidR="007E1B43">
        <w:t>UNCERN</w:t>
      </w:r>
      <w:r>
        <w:t xml:space="preserve"> possui mais de </w:t>
      </w:r>
      <w:r w:rsidR="002609C3">
        <w:t>24</w:t>
      </w:r>
      <w:r>
        <w:t xml:space="preserve"> anos de existência, </w:t>
      </w:r>
      <w:r w:rsidR="007448F9">
        <w:t xml:space="preserve">reconhecida como entidade de utilidade pública em nível municipal, estadual e nacional, </w:t>
      </w:r>
      <w:r>
        <w:t>com inquestionável reputação ética profissional, além de vasta expertise na área de atuação</w:t>
      </w:r>
      <w:r w:rsidR="007448F9">
        <w:t>,</w:t>
      </w:r>
      <w:r>
        <w:t xml:space="preserve"> comprovada por sua capacitada técnica</w:t>
      </w:r>
      <w:r w:rsidR="007448F9">
        <w:t xml:space="preserve"> de gerenciamento de recursos e execução de projetos a ser contratado, conforme atestados em anexo</w:t>
      </w:r>
      <w:r>
        <w:t xml:space="preserve">. Demonstrando, ainda, conforme proposta apresentada, que o valor estipulado para </w:t>
      </w:r>
      <w:r>
        <w:lastRenderedPageBreak/>
        <w:t>execução do objetivo está abaixo de valores praticados no mercado para o tipo de trabalho a ser contratado. No caso efetivo, o valor relativo aos custos indiretos</w:t>
      </w:r>
      <w:r w:rsidR="002609C3">
        <w:t>, como ressarcimento à Fundação, a título de Despesa Operacional e Administrativa – DOA,</w:t>
      </w:r>
      <w:r>
        <w:t xml:space="preserve"> a serem repassados à </w:t>
      </w:r>
      <w:r w:rsidR="002609C3">
        <w:t>FUNCERN</w:t>
      </w:r>
      <w:r>
        <w:t xml:space="preserve"> será de </w:t>
      </w:r>
      <w:r w:rsidR="002609C3" w:rsidRPr="00EF0032">
        <w:rPr>
          <w:color w:val="FF0000"/>
        </w:rPr>
        <w:t xml:space="preserve">R$ </w:t>
      </w:r>
      <w:proofErr w:type="spellStart"/>
      <w:r w:rsidR="002609C3" w:rsidRPr="00EF0032">
        <w:rPr>
          <w:color w:val="FF0000"/>
        </w:rPr>
        <w:t>xxxxxx</w:t>
      </w:r>
      <w:proofErr w:type="spellEnd"/>
      <w:r w:rsidR="002609C3" w:rsidRPr="00EF0032">
        <w:rPr>
          <w:color w:val="FF0000"/>
        </w:rPr>
        <w:t xml:space="preserve"> (</w:t>
      </w:r>
      <w:proofErr w:type="spellStart"/>
      <w:r w:rsidR="002609C3" w:rsidRPr="00EF0032">
        <w:rPr>
          <w:color w:val="FF0000"/>
        </w:rPr>
        <w:t>xxxx</w:t>
      </w:r>
      <w:proofErr w:type="spellEnd"/>
      <w:r w:rsidR="002609C3" w:rsidRPr="00EF0032">
        <w:rPr>
          <w:color w:val="FF0000"/>
        </w:rPr>
        <w:t xml:space="preserve">), </w:t>
      </w:r>
      <w:r w:rsidR="002609C3">
        <w:t xml:space="preserve">que representa </w:t>
      </w:r>
      <w:r w:rsidR="002609C3" w:rsidRPr="00EF0032">
        <w:rPr>
          <w:color w:val="FF0000"/>
        </w:rPr>
        <w:t>x</w:t>
      </w:r>
      <w:r w:rsidRPr="00EF0032">
        <w:rPr>
          <w:color w:val="FF0000"/>
        </w:rPr>
        <w:t>% (</w:t>
      </w:r>
      <w:proofErr w:type="spellStart"/>
      <w:r w:rsidR="002609C3" w:rsidRPr="00EF0032">
        <w:rPr>
          <w:color w:val="FF0000"/>
        </w:rPr>
        <w:t>xx</w:t>
      </w:r>
      <w:proofErr w:type="spellEnd"/>
      <w:r w:rsidRPr="00EF0032">
        <w:rPr>
          <w:color w:val="FF0000"/>
        </w:rPr>
        <w:t xml:space="preserve"> por cento) </w:t>
      </w:r>
      <w:r>
        <w:t xml:space="preserve">sobre o valor total dos serviços efetivamente prestados, que serão repassados para execução, consideravelmente abaixo do limite de </w:t>
      </w:r>
      <w:r w:rsidR="00852BD0">
        <w:t>20</w:t>
      </w:r>
      <w:r>
        <w:t xml:space="preserve">% </w:t>
      </w:r>
      <w:r w:rsidR="00852BD0">
        <w:t xml:space="preserve">(vinte por cento) </w:t>
      </w:r>
      <w:r>
        <w:t>permitido pela norma aplicável, estipulado pelo</w:t>
      </w:r>
      <w:r w:rsidR="00852BD0">
        <w:t xml:space="preserve"> </w:t>
      </w:r>
      <w:r>
        <w:t>art. 8, § 2º do Decreto 10.426/2020</w:t>
      </w:r>
      <w:r w:rsidR="00852BD0">
        <w:t xml:space="preserve">, bem como inferior ao limite definido pelo art. 25, § 2º e Anexo II da Resolução 53/2021 – CONSUP/IFRN. </w:t>
      </w:r>
      <w:r w:rsidR="008E577F">
        <w:t xml:space="preserve">A </w:t>
      </w:r>
      <w:r w:rsidR="008E577F" w:rsidRPr="008E577F">
        <w:t xml:space="preserve">planilha </w:t>
      </w:r>
      <w:r w:rsidR="008E577F">
        <w:t>elaborada pela FUNCERN com a</w:t>
      </w:r>
      <w:r w:rsidR="008E577F" w:rsidRPr="008E577F">
        <w:t xml:space="preserve"> composição da DOA, detalha os custos operacionais calculados com base na duração do projeto (</w:t>
      </w:r>
      <w:proofErr w:type="spellStart"/>
      <w:r w:rsidR="008E577F" w:rsidRPr="00EF0032">
        <w:rPr>
          <w:color w:val="FF0000"/>
        </w:rPr>
        <w:t>xx</w:t>
      </w:r>
      <w:proofErr w:type="spellEnd"/>
      <w:r w:rsidR="008E577F" w:rsidRPr="00EF0032">
        <w:rPr>
          <w:color w:val="FF0000"/>
        </w:rPr>
        <w:t xml:space="preserve"> meses</w:t>
      </w:r>
      <w:r w:rsidR="008E577F" w:rsidRPr="008E577F">
        <w:t>), bem como em sua complexidade de gerenciamento, sendo classificad</w:t>
      </w:r>
      <w:r w:rsidR="008E577F">
        <w:t>a</w:t>
      </w:r>
      <w:r w:rsidR="008E577F" w:rsidRPr="008E577F">
        <w:t xml:space="preserve"> como de </w:t>
      </w:r>
      <w:r w:rsidR="008E577F" w:rsidRPr="00EF0032">
        <w:rPr>
          <w:color w:val="FF0000"/>
          <w:highlight w:val="yellow"/>
        </w:rPr>
        <w:t>baixa</w:t>
      </w:r>
      <w:r w:rsidR="008E577F" w:rsidRPr="008E577F">
        <w:t xml:space="preserve"> complexidade. Para </w:t>
      </w:r>
      <w:r w:rsidR="008E577F">
        <w:t>demonstrar a vantajosidade</w:t>
      </w:r>
      <w:r w:rsidR="00EF0032">
        <w:t xml:space="preserve"> ao IFRN</w:t>
      </w:r>
      <w:r w:rsidR="008E577F">
        <w:t xml:space="preserve"> no valor cobrado como ressarcimento à Fundação</w:t>
      </w:r>
      <w:r w:rsidR="008E577F" w:rsidRPr="008E577F">
        <w:t xml:space="preserve"> foram anexados ao processo cópia de </w:t>
      </w:r>
      <w:r w:rsidR="00EF0032">
        <w:t xml:space="preserve">outros </w:t>
      </w:r>
      <w:r w:rsidR="008E577F" w:rsidRPr="008E577F">
        <w:t>contratos</w:t>
      </w:r>
      <w:r w:rsidR="00EF0032">
        <w:t xml:space="preserve"> de gerenciamento de recursos de projetos</w:t>
      </w:r>
      <w:r w:rsidR="008E577F" w:rsidRPr="008E577F">
        <w:t xml:space="preserve"> firmados entre a FUNCERN e as Instituições de Ensino Superior, bem como </w:t>
      </w:r>
      <w:r w:rsidR="00EF0032">
        <w:t xml:space="preserve">foi </w:t>
      </w:r>
      <w:r w:rsidR="008E577F" w:rsidRPr="008E577F">
        <w:t xml:space="preserve">emitido um parecer com a fundamentação técnica </w:t>
      </w:r>
      <w:r w:rsidR="00EF0032">
        <w:t xml:space="preserve">sobre </w:t>
      </w:r>
      <w:r w:rsidR="008E577F" w:rsidRPr="008E577F">
        <w:t>o valor da DOA cobrado pela FUNCERN.</w:t>
      </w:r>
    </w:p>
    <w:p w14:paraId="410830CA" w14:textId="6F2E753E" w:rsidR="00620E62" w:rsidRDefault="00620E62" w:rsidP="00852BD0">
      <w:pPr>
        <w:jc w:val="both"/>
      </w:pPr>
      <w:r>
        <w:t xml:space="preserve">Neste diapasão, foi escolhida a </w:t>
      </w:r>
      <w:r w:rsidR="00852BD0">
        <w:t>FUNCERN,</w:t>
      </w:r>
      <w:r>
        <w:t xml:space="preserve"> por ter apresentado proposta de preços ligeiramente mais vantajosa para a Administração, além de possuir experiência técnica, e por praticar preços correspondentes ao praticado no mercado. Sendo assim, considerando a proposta apresentada, o valor praticado e a experiência demonstrada, neste momento, demonstra-se como vantajoso </w:t>
      </w:r>
      <w:r w:rsidR="00852BD0">
        <w:t>ao IFRN</w:t>
      </w:r>
      <w:r>
        <w:t xml:space="preserve"> a sua contratação</w:t>
      </w:r>
      <w:r w:rsidR="00852BD0">
        <w:t>.</w:t>
      </w:r>
    </w:p>
    <w:sectPr w:rsidR="00620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62"/>
    <w:rsid w:val="001B1119"/>
    <w:rsid w:val="00201D8A"/>
    <w:rsid w:val="002609C3"/>
    <w:rsid w:val="002B782C"/>
    <w:rsid w:val="00331861"/>
    <w:rsid w:val="004F6345"/>
    <w:rsid w:val="00566177"/>
    <w:rsid w:val="00620E62"/>
    <w:rsid w:val="006B292C"/>
    <w:rsid w:val="006F683B"/>
    <w:rsid w:val="007448F9"/>
    <w:rsid w:val="007E1B43"/>
    <w:rsid w:val="00852BD0"/>
    <w:rsid w:val="00856A0B"/>
    <w:rsid w:val="008E577F"/>
    <w:rsid w:val="00C51B4E"/>
    <w:rsid w:val="00DE7A03"/>
    <w:rsid w:val="00E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AEBB"/>
  <w15:chartTrackingRefBased/>
  <w15:docId w15:val="{E18E78FC-0DF8-431C-9527-36BDAC4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E1B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E1B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E1B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1B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1B43"/>
    <w:rPr>
      <w:b/>
      <w:bCs/>
      <w:sz w:val="20"/>
      <w:szCs w:val="20"/>
    </w:rPr>
  </w:style>
  <w:style w:type="character" w:customStyle="1" w:styleId="cf01">
    <w:name w:val="cf01"/>
    <w:basedOn w:val="Fontepargpadro"/>
    <w:rsid w:val="006F683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879d5f-3c5b-45fc-aa94-2fcfd474c58a" xsi:nil="true"/>
    <lcf76f155ced4ddcb4097134ff3c332f xmlns="9686fd7e-0dc8-479b-a935-90c91445c4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0FBDF94A110547A4A71E80497868DB" ma:contentTypeVersion="17" ma:contentTypeDescription="Crie um novo documento." ma:contentTypeScope="" ma:versionID="403405ac0722aa76f36e43ab0f30aa35">
  <xsd:schema xmlns:xsd="http://www.w3.org/2001/XMLSchema" xmlns:xs="http://www.w3.org/2001/XMLSchema" xmlns:p="http://schemas.microsoft.com/office/2006/metadata/properties" xmlns:ns2="36879d5f-3c5b-45fc-aa94-2fcfd474c58a" xmlns:ns3="9686fd7e-0dc8-479b-a935-90c91445c466" targetNamespace="http://schemas.microsoft.com/office/2006/metadata/properties" ma:root="true" ma:fieldsID="50f0506b5f2fa29f68c368f7f4ed96a8" ns2:_="" ns3:_="">
    <xsd:import namespace="36879d5f-3c5b-45fc-aa94-2fcfd474c58a"/>
    <xsd:import namespace="9686fd7e-0dc8-479b-a935-90c91445c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9d5f-3c5b-45fc-aa94-2fcfd474c5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2d4997-d119-4b5d-ba51-90f448a98a47}" ma:internalName="TaxCatchAll" ma:showField="CatchAllData" ma:web="36879d5f-3c5b-45fc-aa94-2fcfd474c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fd7e-0dc8-479b-a935-90c91445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E2CB3-FFD2-4FF2-A343-7DADA225E43C}">
  <ds:schemaRefs>
    <ds:schemaRef ds:uri="http://schemas.microsoft.com/office/2006/metadata/properties"/>
    <ds:schemaRef ds:uri="http://schemas.microsoft.com/office/infopath/2007/PartnerControls"/>
    <ds:schemaRef ds:uri="36879d5f-3c5b-45fc-aa94-2fcfd474c58a"/>
    <ds:schemaRef ds:uri="9686fd7e-0dc8-479b-a935-90c91445c466"/>
  </ds:schemaRefs>
</ds:datastoreItem>
</file>

<file path=customXml/itemProps2.xml><?xml version="1.0" encoding="utf-8"?>
<ds:datastoreItem xmlns:ds="http://schemas.openxmlformats.org/officeDocument/2006/customXml" ds:itemID="{6DD2B8FD-897C-4541-9755-42F58CD2D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79d5f-3c5b-45fc-aa94-2fcfd474c58a"/>
    <ds:schemaRef ds:uri="9686fd7e-0dc8-479b-a935-90c91445c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FC618-B8BC-4C69-97E6-DE4A73712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1498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Moura Cavalcanti</dc:creator>
  <cp:keywords/>
  <dc:description/>
  <cp:lastModifiedBy>Carlos Andre de Oliveira</cp:lastModifiedBy>
  <cp:revision>6</cp:revision>
  <dcterms:created xsi:type="dcterms:W3CDTF">2023-09-25T15:42:00Z</dcterms:created>
  <dcterms:modified xsi:type="dcterms:W3CDTF">2024-04-15T14:40:00Z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0x010100A50FBDF94A110547A4A71E80497868DB</vt:lpwstr>
  </property>
  <property fmtid="{D5CDD505-2E9C-101B-9397-08002B2CF9AE}" pid="3" name="MediaServiceImageTags">
    <vt:lpwstr/>
  </property>
</Properties>
</file>